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нефтяной отрасли в России и мире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1F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F73">
              <w:rPr>
                <w:rFonts w:ascii="Times New Roman" w:hAnsi="Times New Roman" w:cs="Times New Roman"/>
                <w:sz w:val="20"/>
                <w:szCs w:val="20"/>
              </w:rPr>
              <w:t>д.ю.н,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53D33E1" w14:textId="2FADC753" w:rsidR="00E91F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4228" w:history="1">
            <w:r w:rsidR="00E91F73"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91F73">
              <w:rPr>
                <w:noProof/>
                <w:webHidden/>
              </w:rPr>
              <w:tab/>
            </w:r>
            <w:r w:rsidR="00E91F73">
              <w:rPr>
                <w:noProof/>
                <w:webHidden/>
              </w:rPr>
              <w:fldChar w:fldCharType="begin"/>
            </w:r>
            <w:r w:rsidR="00E91F73">
              <w:rPr>
                <w:noProof/>
                <w:webHidden/>
              </w:rPr>
              <w:instrText xml:space="preserve"> PAGEREF _Toc232674228 \h </w:instrText>
            </w:r>
            <w:r w:rsidR="00E91F73">
              <w:rPr>
                <w:noProof/>
                <w:webHidden/>
              </w:rPr>
            </w:r>
            <w:r w:rsidR="00E91F73">
              <w:rPr>
                <w:noProof/>
                <w:webHidden/>
              </w:rPr>
              <w:fldChar w:fldCharType="separate"/>
            </w:r>
            <w:r w:rsidR="00E91F73">
              <w:rPr>
                <w:noProof/>
                <w:webHidden/>
              </w:rPr>
              <w:t>3</w:t>
            </w:r>
            <w:r w:rsidR="00E91F73">
              <w:rPr>
                <w:noProof/>
                <w:webHidden/>
              </w:rPr>
              <w:fldChar w:fldCharType="end"/>
            </w:r>
          </w:hyperlink>
        </w:p>
        <w:p w14:paraId="77FC2443" w14:textId="1495175C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29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82344" w14:textId="54A675F2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0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DA42C" w14:textId="14F48554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1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FF5DD" w14:textId="60C281B9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2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7FCDF" w14:textId="596481CE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3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CCBD6" w14:textId="5ACEAAAB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4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47587" w14:textId="4297B72B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5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DC35D" w14:textId="2C383C4C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6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CADCF" w14:textId="5256BB05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7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4D509" w14:textId="3B2742C3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8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9D9742" w14:textId="402DE845" w:rsidR="00E91F73" w:rsidRDefault="00E91F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39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0826A" w14:textId="1CCDCE05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40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7E244" w14:textId="37CDC156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41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9028AA" w14:textId="6BC2FD82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42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4D30E" w14:textId="7F296D5A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43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19D00" w14:textId="323E36FD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44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0C579" w14:textId="6CE5D657" w:rsidR="00E91F73" w:rsidRDefault="00E91F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245" w:history="1">
            <w:r w:rsidRPr="000162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053534F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4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6600688" w:rsidR="00751095" w:rsidRPr="00352B6F" w:rsidRDefault="00E91F73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деятельности нефтяной отрасли, включая изучение правовых режимов поиска, разведки, добычи, транспортировки, переработки, хранения и сбыта нефти и нефтепродуктов, особенностей договорно-правового сопровождения нефтяных проектов, государственного регулирования и налогообложения нефтяной отрасли в России и зарубежных странах, а также международно-правовых аспектов сотрудничества в нефтяной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4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Правовое регулирование нефтяной отрасли в России и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4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2278"/>
        <w:gridCol w:w="5153"/>
      </w:tblGrid>
      <w:tr w:rsidR="00751095" w:rsidRPr="00E91F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1F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1F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1F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1F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1F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1F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1F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1F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1F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</w:rPr>
              <w:t>ПК-3 - Способен квалифицированно применять нормативные правовые акты в отдельных отраслях энергетики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1F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1F73">
              <w:rPr>
                <w:rFonts w:ascii="Times New Roman" w:hAnsi="Times New Roman" w:cs="Times New Roman"/>
                <w:lang w:bidi="ru-RU"/>
              </w:rPr>
              <w:t>ПК-3.1 - Знает принципы международного права и особенности их реализации в угольной, нефтяной, газовой и нефтегазохимической отраслях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1F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1F73">
              <w:rPr>
                <w:rFonts w:ascii="Times New Roman" w:hAnsi="Times New Roman" w:cs="Times New Roman"/>
              </w:rPr>
              <w:t xml:space="preserve">принципы международного права (постоянный суверенитет над природными ресурсами, принцип недискриминационного доступа к транзиту, принцип </w:t>
            </w:r>
            <w:r w:rsidR="00316402" w:rsidRPr="00E91F73">
              <w:rPr>
                <w:rFonts w:ascii="Times New Roman" w:hAnsi="Times New Roman" w:cs="Times New Roman"/>
                <w:lang w:val="en-US"/>
              </w:rPr>
              <w:t>pacta</w:t>
            </w:r>
            <w:r w:rsidR="00316402" w:rsidRPr="00E91F73">
              <w:rPr>
                <w:rFonts w:ascii="Times New Roman" w:hAnsi="Times New Roman" w:cs="Times New Roman"/>
              </w:rPr>
              <w:t xml:space="preserve"> </w:t>
            </w:r>
            <w:r w:rsidR="00316402" w:rsidRPr="00E91F73">
              <w:rPr>
                <w:rFonts w:ascii="Times New Roman" w:hAnsi="Times New Roman" w:cs="Times New Roman"/>
                <w:lang w:val="en-US"/>
              </w:rPr>
              <w:t>sunt</w:t>
            </w:r>
            <w:r w:rsidR="00316402" w:rsidRPr="00E91F73">
              <w:rPr>
                <w:rFonts w:ascii="Times New Roman" w:hAnsi="Times New Roman" w:cs="Times New Roman"/>
              </w:rPr>
              <w:t xml:space="preserve"> </w:t>
            </w:r>
            <w:r w:rsidR="00316402" w:rsidRPr="00E91F73">
              <w:rPr>
                <w:rFonts w:ascii="Times New Roman" w:hAnsi="Times New Roman" w:cs="Times New Roman"/>
                <w:lang w:val="en-US"/>
              </w:rPr>
              <w:t>servanda</w:t>
            </w:r>
            <w:r w:rsidR="00316402" w:rsidRPr="00E91F73">
              <w:rPr>
                <w:rFonts w:ascii="Times New Roman" w:hAnsi="Times New Roman" w:cs="Times New Roman"/>
              </w:rPr>
              <w:t>, принцип защиты иностранных инвестиций) и особенности их реализации в нефтяной отрасли (включая соглашения о разделе продукции, лицензионные соглашения, концессионные договоры, вопросы недропользования, государственное регулирование нефтяного рынка, транзит и экспорт нефти).</w:t>
            </w:r>
            <w:r w:rsidRPr="00E91F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1F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1F73">
              <w:rPr>
                <w:rFonts w:ascii="Times New Roman" w:hAnsi="Times New Roman" w:cs="Times New Roman"/>
              </w:rPr>
              <w:t>квалифицированно применять нормативные правовые акты и международно-правовые нормы в нефтяной отрасли с учетом принципов международного права и особенностей их реализации в конкретных правовых режимах (российское законодательство о недрах, право ЕС, Модельное законодательство СНГ, двусторонние инвестиционные договоры) для решения задач профессиональной деятельности.</w:t>
            </w:r>
            <w:r w:rsidRPr="00E91F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1F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1F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1F73">
              <w:rPr>
                <w:rFonts w:ascii="Times New Roman" w:hAnsi="Times New Roman" w:cs="Times New Roman"/>
              </w:rPr>
              <w:t xml:space="preserve">навыками квалифицированного применения нормативных правовых актов в нефтяной отрасли с опорой на принципы международного права, способами учета </w:t>
            </w:r>
            <w:r w:rsidR="00FD518F" w:rsidRPr="00E91F73">
              <w:rPr>
                <w:rFonts w:ascii="Times New Roman" w:hAnsi="Times New Roman" w:cs="Times New Roman"/>
              </w:rPr>
              <w:lastRenderedPageBreak/>
              <w:t>особенностей реализации международно-правовых принципов в нефтяной и нефтегазохимической деятельности (разведка, добыча, переработка, транспорт, хранение, сбыт), а также приемами правового анализа нефтяных проектов с учетом отраслевой специфики.</w:t>
            </w:r>
            <w:r w:rsidRPr="00E91F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1F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42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ПРАВОВОЕ РЕГУЛИРОВАНИЕ НЕФТЯНОЙ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нефтяной отрасли в системе энергетического права.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Отношения в сфере поиска, разведки, добычи, переработки, транспортировки, хранения и реализации нефти и нефтепродуктов как предмет правового регулирования.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Комплексный характер правового регулирования: сочетание частноправовых и публично-правовых начал.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Стратегические подходы к развитию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Энергетическая стратегия Российской Федерации на период до 2035 г.: стратегические цели развития нефтяного комплекса.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Прогноз научно-технологического развития отраслей ТЭК России.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Государственная политика в области недропользования и воспроизводства минерально-сырьевой базы.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Источники правового регулирования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Кодифицированные акты: Гражданский кодекс РФ, Налоговый кодекс РФ (глава 26 «Налог на добычу полезных ископаемых»), Земельный кодекс РФ, Градостроительный кодекс РФ, КоАП РФ, Уголовный кодекс РФ.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Специальные федеральные законы: Закон РФ «О недрах», Федеральный закон «О соглашениях о разделе продукции», Федеральный закон «О естественных монополиях», Федеральный закон «О защите конкуренции», Федеральный закон «О промышленной безопасности опасных производственных объектов», Федеральный закон «О безопасности объектов топливно-энергетического комплекса».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Подзаконные нормативные правовые акты: постановления Правительства РФ (о подключении объектов нефтедобычи, о доступе к услугам по транспортировке, о тарифах и др.), приказы Минэнерго России, приказы Ростехнадзора.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Локальные акты компаний нефтяной отрасли (положения о закупках, стандарты качества, правила торговой практики).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Международное регулирование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Международные конвенции в сфере охраны окружающей среды и ответственности за загрязнение нефтью (Международная конвенция по предотвращению загрязнения с судов 1973/1978, Международная конвенция о гражданской ответственности за ущерб от загрязнения нефтью 1992, Конвенция о предотвращении крупных промышленных аварий 1993).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Двусторонние межправительственные соглашения о сотрудничестве в нефтяной отрасли (с КНР, Венесуэлой, Вьетнамом, Казахстаном и др.).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о Евразийском экономическом союзе: формирование общих рынков нефти и нефтепродуктов.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0D169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197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ПРАВОВОЙ РЕЖИМ НЕФТИ И НЕФТЕПРОДУКТОВ. ЭНЕРГЕТИЧЕСКИЕ ОБЪЕКТЫ НЕФТЯНОЙ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13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нефти и нефтепродуктов как объектов прав.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нефти и нефтепродуктов в нормативных правовых актах (Закон РФ «О недрах», Налоговый кодекс РФ, Технический регламент о требованиях к топливу).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Нефть как товар: особенности правового режима (ст. 548 ГК РФ).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br/>
              <w:t>Нефть как объект налогообложения (НДПИ, классификация видов нефти, коэффициенты Кд, Кдв).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Нефть как объект биржевой торговли: критерии регулярности реализации товара на бирже (Постановление Правительства РФ № 1035).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Нефть как объект внешнеэкономических сделок: классификация сырой нефти для целей расчета ставок вывозных таможенных пошлин (Закон РФ «О таможенном тарифе», особые формулы расчёта).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Нефть как опасное вещество (Федеральный закон «О промышленной безопасности опасных производственных объектов»): значение для правового режима.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Учет нефти и контроль качества.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Правила учета нефти (Постановление Правительства РФ № 451): порядок учета, определения массы нетто, паспорт качества.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Учет нефти в целях налогообложения.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Инструкция по контролю и обеспечению сохранения качества нефтепродуктов (Приказ Минэнерго России № 231).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Нормы естественной убыли нефти и нефтепродуктов при хранении и перевозке.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режим энергетических объектов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Объекты нефтедобычи: понятие, состав имущественно-технологического комплекса. Технические условия подключения к магистральным нефтепроводам (Постановление Правительства РФ № 90).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Магистральные нефтепроводы: понятие, проектная и фактическая пропускная способность, порядок определения.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Нефтеперерабатывающие заводы (НПЗ): понятие, проектная мощность, ведение реестра заводов Минэнерго России.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Отнесение объектов нефтяной отрасли к опасным производственным объектам: классы опасности.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режим объектов топливно-энергетического комплекса: требования антитеррористической защищенности.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правового режима нефти и нефтепродуктов при транспортировке.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Требования к качеству и учету нефти при транспортировке по магистральным нефтепроводам.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Тарифы на услуги субъектов естественных монополий по транспортировке нефти и нефтепродуктов (Постановление Правительства РФ № 980).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Нормы естественной убыли нефти при перевозке различными видами транспорта (Приказ Минэнерго России № 527/236).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752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DC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887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30F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F0511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B0B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3. ПРАВОВОЕ ПОЛОЖЕНИЕ СУБЪЕКТОВ НЕФТЯНОЙ ОТРАСЛИ. ДОГОВОРНОЕ РЕГУЛИРОВАНИЕ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3D9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положение субъектов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Пользователи недр: требования к субъектам, основания возникновения права пользования участками недр (лицензирование, аукционы). Особенности для участков недр федерального значения, континентального шельфа.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Субъекты естественных монополий: транспортировка нефти и нефтепродуктов по магистральным трубопроводам. Стандарты раскрытия информации.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Стратегические общества в нефтяной отрасли: ОАО «АК «Транснефть», ОАО «НК «Роснефть», ОАО «Зарубежнефть», ОАО «Роснефтегаз». Особенности правового положения, участие государства в уставном капитале.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Права и обязанности оператора и потребителя услуг по транспортировке нефти.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Лицензирование недропользования 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выдачи, оформления и регистрации лицензий на пользование недрами. Переоформление и прекращение лицензий.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br/>
              <w:t>Участки недр федерального значения: критерии отнесения, порядок предоставления без проведения аукционов (Распоряжение Правительства РФ № 787-р).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Лицензионные риски и ответственность за нарушение условий пользования недрами.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Договорное регулирование 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Договоры поставки нефти и нефтепродуктов: особенности заключения (рамочные договоры, условия Инкотермс). Биржевая торговля нефтепродуктами (правила организованных торгов, Общие условия поставки). Судебная практика по спорам о поставке.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Договоры об оказании услуг по транспортировке нефти (нефтепродуктов) по магистральным трубопроводам: порядок заключения (заявка, сроки), существенные условия договора, срок действия (1 год), права и обязанности сторон (Постановление Правительства РФ № 218).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Договоры на подключение объектов нефтедобычи к магистральному нефтепроводу: понятие, стороны, существенные условия, срок действия (не более 3 лет), размер платы.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Договоры на подключение нефтеперерабатывающих заводов к магистральным нефтепроводам и нефтепродуктопроводам: порядок заключения, срок действия (не более 5 лет), технические условия (Постановление Правительства РФ № 1039).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Соглашения о разделе продукции (СРП): понятие, правовая природа, действующие СРП (Харьягинское, «Сахалин-1», «Сахалин-2»). Особенности правового регулирования.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Экспорт и импорт нефти и нефтепродуктов.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Особые экономические меры в связи с установлением предельной цены на российские нефть и нефтепродукты (Указ Президента РФ № 961).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Таможенное регулирование: ставки вывозных </w:t>
            </w:r>
            <w:r w:rsidRPr="00352B6F">
              <w:rPr>
                <w:lang w:bidi="ru-RU"/>
              </w:rPr>
              <w:lastRenderedPageBreak/>
              <w:t>таможенных пошлин, методика расчёта, правила мониторинга цен.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подтверждения факта добычи нефти для применения особых формул расчета ставок вывозных пошлин (Постановление Правительства РФ № 277).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8F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5E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9A5E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851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6BD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FC5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ПУБЛИЧНО-ПРАВОВОЕ РЕГУЛИРОВАНИЕ В НЕФТЯНОЙ ОТРАСЛИ. ГОСУДАРСТВЕННОЕ РЕГУЛИРОВАНИЕ И САМОРЕГУЛИРОВАНИЕ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DB2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Антимонопольное регулирование 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Обеспечение недискриминационного доступа к услугам субъектов естественных монополий по транспортировке нефти (Постановление Правительства РФ № 218). Порядок формирования и утверждения графика транспортировки нефти за пределы РФ.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Стандарты раскрытия информации субъектами естественных монополий (Постановление Правительства РФ № 844).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Контроль за экономической концентрацией на рынках нефти и нефтепродуктов.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Недопущение злоупотребления доминирующим положением.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Государственное регулирование тарифов на услуги по транспортировке нефти и нефтепродуктов.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Принципы и методы регулирования тарифов (метод экономически обоснованных расходов, метод доходности инвестированного капитала, метод индексации).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Перечень услуг субъектов естественных монополий, тарифы на которые регулируются государством (перекачка, перевалка, приём, слив, налив).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дифференциации тарифов в зависимости от объемов и характеристик транспортируемой нефти.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ценообразования на услуги по комплексной транспортировке нефти.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Налоговое и таможенное регулирование 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Налог на добычу полезных ископаемых </w:t>
            </w:r>
            <w:r w:rsidRPr="00352B6F">
              <w:rPr>
                <w:lang w:bidi="ru-RU"/>
              </w:rPr>
              <w:lastRenderedPageBreak/>
              <w:t>(НДПИ) при добыче нефти: порядок определения количества добытой нефти, коэффициенты Кд и Кдв.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налогообложения для месторождений с высокой степенью выработанности, новых месторождений.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Вывозные таможенные пошлины на нефть и нефтепродукты: порядок установления, формулы расчёта, мониторинг цен.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Экспортный контроль в отношении нефти и нефтепродуктов.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Государственное регулирование в области промышленной и экологической безопасности.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Федеральные нормы и правила в области промышленной безопасности в нефтяной и газовой промышленности (Приказ Ростехнадзора № 101): требования к конструкциям скважин, к эксплуатации объектов сбора, подготовки, хранения и транспорта нефти.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Планы предупреждения и ликвидации разливов нефти и нефтепродуктов: требования к содержанию, согласование (постановление Правительства РФ № 2451, разъяснения Росприроднадзора, Минэнерго).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Регистрация опасных производственных объектов в государственном реестре. Классы опасности.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Саморегулирование в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Саморегулируемые организации, основанные на членстве лиц, осуществляющих работы по инженерным изысканиям, проектированию, строительству энергетических объектов (СРО «Нефтегазстрой», СРО «Энергострой»). Требования к выдаче свидетельств о допуске к работам.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Саморегулируемые организации в области энергетического обследования, члены которых проводят энергетические обследования организаций нефтяной отрасли.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Акты саморегулируемых организаций как источник энергетического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80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0E9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C5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7D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42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4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1F73">
              <w:rPr>
                <w:rFonts w:ascii="Times New Roman" w:hAnsi="Times New Roman" w:cs="Times New Roman"/>
                <w:sz w:val="24"/>
                <w:szCs w:val="24"/>
              </w:rPr>
              <w:t xml:space="preserve">Кремлева, Ольга Клавдиевна. Энергетическое право : учебное пособие / О.К.Кремлева ; М-во образования и науки Рос. Федерации, С.-Петерб. гос. экон. ун-т, Каф. теории и истории государства и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52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E91F7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262CF0" w:rsidRPr="007E6725" w14:paraId="0A2815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C3090A" w14:textId="77777777" w:rsidR="00262CF0" w:rsidRPr="00E91F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1F73">
              <w:rPr>
                <w:rFonts w:ascii="Times New Roman" w:hAnsi="Times New Roman" w:cs="Times New Roman"/>
                <w:sz w:val="24"/>
                <w:szCs w:val="24"/>
              </w:rPr>
              <w:t>Василькова, С. В. Энергетическое право : учебник / С. В. Василькова. — Москва : КноРус, 2025. — 262 с.</w:t>
            </w:r>
            <w:r w:rsidRPr="00E91F7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3E7C01" w14:textId="77777777" w:rsidR="00262CF0" w:rsidRPr="007E6725" w:rsidRDefault="00C052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https://book.ru/books/957210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4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CFBEB1" w14:textId="77777777" w:rsidTr="007B550D">
        <w:tc>
          <w:tcPr>
            <w:tcW w:w="9345" w:type="dxa"/>
          </w:tcPr>
          <w:p w14:paraId="3EBF09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334E10" w14:textId="77777777" w:rsidTr="007B550D">
        <w:tc>
          <w:tcPr>
            <w:tcW w:w="9345" w:type="dxa"/>
          </w:tcPr>
          <w:p w14:paraId="59D36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14FCBB5" w14:textId="77777777" w:rsidTr="007B550D">
        <w:tc>
          <w:tcPr>
            <w:tcW w:w="9345" w:type="dxa"/>
          </w:tcPr>
          <w:p w14:paraId="54468B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C92311" w14:textId="77777777" w:rsidTr="007B550D">
        <w:tc>
          <w:tcPr>
            <w:tcW w:w="9345" w:type="dxa"/>
          </w:tcPr>
          <w:p w14:paraId="5D469B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4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052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4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1F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1F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1F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1F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91F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91F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E91F73">
              <w:rPr>
                <w:sz w:val="22"/>
                <w:szCs w:val="22"/>
                <w:lang w:val="en-US"/>
              </w:rPr>
              <w:t>Intel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i</w:t>
            </w:r>
            <w:r w:rsidRPr="00E91F73">
              <w:rPr>
                <w:sz w:val="22"/>
                <w:szCs w:val="22"/>
              </w:rPr>
              <w:t>3 2100 3.3/4</w:t>
            </w:r>
            <w:r w:rsidRPr="00E91F73">
              <w:rPr>
                <w:sz w:val="22"/>
                <w:szCs w:val="22"/>
                <w:lang w:val="en-US"/>
              </w:rPr>
              <w:t>Gb</w:t>
            </w:r>
            <w:r w:rsidRPr="00E91F73">
              <w:rPr>
                <w:sz w:val="22"/>
                <w:szCs w:val="22"/>
              </w:rPr>
              <w:t>/500</w:t>
            </w:r>
            <w:r w:rsidRPr="00E91F73">
              <w:rPr>
                <w:sz w:val="22"/>
                <w:szCs w:val="22"/>
                <w:lang w:val="en-US"/>
              </w:rPr>
              <w:t>Gb</w:t>
            </w:r>
            <w:r w:rsidRPr="00E91F73">
              <w:rPr>
                <w:sz w:val="22"/>
                <w:szCs w:val="22"/>
              </w:rPr>
              <w:t>/</w:t>
            </w:r>
            <w:r w:rsidRPr="00E91F73">
              <w:rPr>
                <w:sz w:val="22"/>
                <w:szCs w:val="22"/>
                <w:lang w:val="en-US"/>
              </w:rPr>
              <w:t>AserV</w:t>
            </w:r>
            <w:r w:rsidRPr="00E91F73">
              <w:rPr>
                <w:sz w:val="22"/>
                <w:szCs w:val="22"/>
              </w:rPr>
              <w:t xml:space="preserve">193 - 1 шт.,  Мультимедийный проектор </w:t>
            </w:r>
            <w:r w:rsidRPr="00E91F73">
              <w:rPr>
                <w:sz w:val="22"/>
                <w:szCs w:val="22"/>
                <w:lang w:val="en-US"/>
              </w:rPr>
              <w:t>NEC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ME</w:t>
            </w:r>
            <w:r w:rsidRPr="00E91F73">
              <w:rPr>
                <w:sz w:val="22"/>
                <w:szCs w:val="22"/>
              </w:rPr>
              <w:t>402</w:t>
            </w:r>
            <w:r w:rsidRPr="00E91F73">
              <w:rPr>
                <w:sz w:val="22"/>
                <w:szCs w:val="22"/>
                <w:lang w:val="en-US"/>
              </w:rPr>
              <w:t>X</w:t>
            </w:r>
            <w:r w:rsidRPr="00E91F7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91F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1F73" w14:paraId="4E929F7E" w14:textId="77777777" w:rsidTr="008416EB">
        <w:tc>
          <w:tcPr>
            <w:tcW w:w="7797" w:type="dxa"/>
            <w:shd w:val="clear" w:color="auto" w:fill="auto"/>
          </w:tcPr>
          <w:p w14:paraId="575336A4" w14:textId="7777777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E91F73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E91F73">
              <w:rPr>
                <w:sz w:val="22"/>
                <w:szCs w:val="22"/>
                <w:lang w:val="en-US"/>
              </w:rPr>
              <w:t>i</w:t>
            </w:r>
            <w:r w:rsidRPr="00E91F73">
              <w:rPr>
                <w:sz w:val="22"/>
                <w:szCs w:val="22"/>
              </w:rPr>
              <w:t>3 2100 3.1/2</w:t>
            </w:r>
            <w:r w:rsidRPr="00E91F73">
              <w:rPr>
                <w:sz w:val="22"/>
                <w:szCs w:val="22"/>
                <w:lang w:val="en-US"/>
              </w:rPr>
              <w:t>Gb</w:t>
            </w:r>
            <w:r w:rsidRPr="00E91F73">
              <w:rPr>
                <w:sz w:val="22"/>
                <w:szCs w:val="22"/>
              </w:rPr>
              <w:t>/500</w:t>
            </w:r>
            <w:r w:rsidRPr="00E91F73">
              <w:rPr>
                <w:sz w:val="22"/>
                <w:szCs w:val="22"/>
                <w:lang w:val="en-US"/>
              </w:rPr>
              <w:t>Gb</w:t>
            </w:r>
            <w:r w:rsidRPr="00E91F73">
              <w:rPr>
                <w:sz w:val="22"/>
                <w:szCs w:val="22"/>
              </w:rPr>
              <w:t>/</w:t>
            </w:r>
            <w:r w:rsidRPr="00E91F73">
              <w:rPr>
                <w:sz w:val="22"/>
                <w:szCs w:val="22"/>
                <w:lang w:val="en-US"/>
              </w:rPr>
              <w:t>Samsung</w:t>
            </w:r>
            <w:r w:rsidRPr="00E91F73">
              <w:rPr>
                <w:sz w:val="22"/>
                <w:szCs w:val="22"/>
              </w:rPr>
              <w:t xml:space="preserve"> Е1920 </w:t>
            </w:r>
            <w:r w:rsidRPr="00E91F73">
              <w:rPr>
                <w:sz w:val="22"/>
                <w:szCs w:val="22"/>
                <w:lang w:val="en-US"/>
              </w:rPr>
              <w:t>NR</w:t>
            </w:r>
            <w:r w:rsidRPr="00E91F73">
              <w:rPr>
                <w:sz w:val="22"/>
                <w:szCs w:val="22"/>
              </w:rPr>
              <w:t xml:space="preserve"> - 1 шт., Проектор </w:t>
            </w:r>
            <w:r w:rsidRPr="00E91F73">
              <w:rPr>
                <w:sz w:val="22"/>
                <w:szCs w:val="22"/>
                <w:lang w:val="en-US"/>
              </w:rPr>
              <w:t>NEC</w:t>
            </w:r>
            <w:r w:rsidRPr="00E91F73">
              <w:rPr>
                <w:sz w:val="22"/>
                <w:szCs w:val="22"/>
              </w:rPr>
              <w:t xml:space="preserve"> М350 Х - 1 шт., Микшер усилитель </w:t>
            </w:r>
            <w:r w:rsidRPr="00E91F73">
              <w:rPr>
                <w:sz w:val="22"/>
                <w:szCs w:val="22"/>
                <w:lang w:val="en-US"/>
              </w:rPr>
              <w:t>Jedia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TA</w:t>
            </w:r>
            <w:r w:rsidRPr="00E91F73">
              <w:rPr>
                <w:sz w:val="22"/>
                <w:szCs w:val="22"/>
              </w:rPr>
              <w:t xml:space="preserve">-1120 - 1 шт., Экран с электро-приводом </w:t>
            </w:r>
            <w:r w:rsidRPr="00E91F73">
              <w:rPr>
                <w:sz w:val="22"/>
                <w:szCs w:val="22"/>
                <w:lang w:val="en-US"/>
              </w:rPr>
              <w:t>Draper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Baronet</w:t>
            </w:r>
            <w:r w:rsidRPr="00E91F73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E91F73">
              <w:rPr>
                <w:sz w:val="22"/>
                <w:szCs w:val="22"/>
                <w:lang w:val="en-US"/>
              </w:rPr>
              <w:t>Hi</w:t>
            </w:r>
            <w:r w:rsidRPr="00E91F73">
              <w:rPr>
                <w:sz w:val="22"/>
                <w:szCs w:val="22"/>
              </w:rPr>
              <w:t>-</w:t>
            </w:r>
            <w:r w:rsidRPr="00E91F73">
              <w:rPr>
                <w:sz w:val="22"/>
                <w:szCs w:val="22"/>
                <w:lang w:val="en-US"/>
              </w:rPr>
              <w:t>Fi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PRO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MASK</w:t>
            </w:r>
            <w:r w:rsidRPr="00E91F73">
              <w:rPr>
                <w:sz w:val="22"/>
                <w:szCs w:val="22"/>
              </w:rPr>
              <w:t>6</w:t>
            </w:r>
            <w:r w:rsidRPr="00E91F73">
              <w:rPr>
                <w:sz w:val="22"/>
                <w:szCs w:val="22"/>
                <w:lang w:val="en-US"/>
              </w:rPr>
              <w:t>T</w:t>
            </w:r>
            <w:r w:rsidRPr="00E91F73">
              <w:rPr>
                <w:sz w:val="22"/>
                <w:szCs w:val="22"/>
              </w:rPr>
              <w:t>-</w:t>
            </w:r>
            <w:r w:rsidRPr="00E91F73">
              <w:rPr>
                <w:sz w:val="22"/>
                <w:szCs w:val="22"/>
                <w:lang w:val="en-US"/>
              </w:rPr>
              <w:t>W</w:t>
            </w:r>
            <w:r w:rsidRPr="00E91F73">
              <w:rPr>
                <w:sz w:val="22"/>
                <w:szCs w:val="22"/>
              </w:rPr>
              <w:t xml:space="preserve"> - 1 шт., Проектор </w:t>
            </w:r>
            <w:r w:rsidRPr="00E91F73">
              <w:rPr>
                <w:sz w:val="22"/>
                <w:szCs w:val="22"/>
                <w:lang w:val="en-US"/>
              </w:rPr>
              <w:t>NEC</w:t>
            </w:r>
            <w:r w:rsidRPr="00E91F73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6407F9" w14:textId="7777777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</w:t>
            </w:r>
            <w:r w:rsidRPr="00E91F73">
              <w:rPr>
                <w:sz w:val="22"/>
                <w:szCs w:val="22"/>
              </w:rPr>
              <w:lastRenderedPageBreak/>
              <w:t xml:space="preserve">д. 6-8, пом. 21Н, 26Н, 15Н-19Н, Л-3, Л-4, Л-5, лит. </w:t>
            </w:r>
            <w:r w:rsidRPr="00E91F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1F73" w14:paraId="3A92FB15" w14:textId="77777777" w:rsidTr="008416EB">
        <w:tc>
          <w:tcPr>
            <w:tcW w:w="7797" w:type="dxa"/>
            <w:shd w:val="clear" w:color="auto" w:fill="auto"/>
          </w:tcPr>
          <w:p w14:paraId="69FD7BEA" w14:textId="7777777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lastRenderedPageBreak/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E91F73">
              <w:rPr>
                <w:sz w:val="22"/>
                <w:szCs w:val="22"/>
                <w:lang w:val="en-US"/>
              </w:rPr>
              <w:t>HP</w:t>
            </w:r>
            <w:r w:rsidRPr="00E91F73">
              <w:rPr>
                <w:sz w:val="22"/>
                <w:szCs w:val="22"/>
              </w:rPr>
              <w:t xml:space="preserve"> 250 </w:t>
            </w:r>
            <w:r w:rsidRPr="00E91F73">
              <w:rPr>
                <w:sz w:val="22"/>
                <w:szCs w:val="22"/>
                <w:lang w:val="en-US"/>
              </w:rPr>
              <w:t>G</w:t>
            </w:r>
            <w:r w:rsidRPr="00E91F73">
              <w:rPr>
                <w:sz w:val="22"/>
                <w:szCs w:val="22"/>
              </w:rPr>
              <w:t>6 1</w:t>
            </w:r>
            <w:r w:rsidRPr="00E91F73">
              <w:rPr>
                <w:sz w:val="22"/>
                <w:szCs w:val="22"/>
                <w:lang w:val="en-US"/>
              </w:rPr>
              <w:t>WY</w:t>
            </w:r>
            <w:r w:rsidRPr="00E91F73">
              <w:rPr>
                <w:sz w:val="22"/>
                <w:szCs w:val="22"/>
              </w:rPr>
              <w:t>58</w:t>
            </w:r>
            <w:r w:rsidRPr="00E91F73">
              <w:rPr>
                <w:sz w:val="22"/>
                <w:szCs w:val="22"/>
                <w:lang w:val="en-US"/>
              </w:rPr>
              <w:t>EA</w:t>
            </w:r>
            <w:r w:rsidRPr="00E91F73">
              <w:rPr>
                <w:sz w:val="22"/>
                <w:szCs w:val="22"/>
              </w:rPr>
              <w:t xml:space="preserve">, Мультимедийный проектор </w:t>
            </w:r>
            <w:r w:rsidRPr="00E91F73">
              <w:rPr>
                <w:sz w:val="22"/>
                <w:szCs w:val="22"/>
                <w:lang w:val="en-US"/>
              </w:rPr>
              <w:t>LG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PF</w:t>
            </w:r>
            <w:r w:rsidRPr="00E91F73">
              <w:rPr>
                <w:sz w:val="22"/>
                <w:szCs w:val="22"/>
              </w:rPr>
              <w:t>1500</w:t>
            </w:r>
            <w:r w:rsidRPr="00E91F73">
              <w:rPr>
                <w:sz w:val="22"/>
                <w:szCs w:val="22"/>
                <w:lang w:val="en-US"/>
              </w:rPr>
              <w:t>G</w:t>
            </w:r>
            <w:r w:rsidRPr="00E91F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87A35D" w14:textId="7777777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91F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91F73" w14:paraId="635A0FB8" w14:textId="77777777" w:rsidTr="008416EB">
        <w:tc>
          <w:tcPr>
            <w:tcW w:w="7797" w:type="dxa"/>
            <w:shd w:val="clear" w:color="auto" w:fill="auto"/>
          </w:tcPr>
          <w:p w14:paraId="33B7155E" w14:textId="7777777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t xml:space="preserve"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r w:rsidRPr="00E91F73">
              <w:rPr>
                <w:sz w:val="22"/>
                <w:szCs w:val="22"/>
                <w:lang w:val="en-US"/>
              </w:rPr>
              <w:t>Ledovo</w:t>
            </w:r>
            <w:r w:rsidRPr="00E91F73">
              <w:rPr>
                <w:sz w:val="22"/>
                <w:szCs w:val="22"/>
              </w:rPr>
              <w:t>2: 4</w:t>
            </w:r>
            <w:r w:rsidRPr="00E91F73">
              <w:rPr>
                <w:sz w:val="22"/>
                <w:szCs w:val="22"/>
                <w:lang w:val="en-US"/>
              </w:rPr>
              <w:t>x</w:t>
            </w:r>
            <w:r w:rsidRPr="00E91F73">
              <w:rPr>
                <w:sz w:val="22"/>
                <w:szCs w:val="22"/>
              </w:rPr>
              <w:t>3.1/8</w:t>
            </w:r>
            <w:r w:rsidRPr="00E91F73">
              <w:rPr>
                <w:sz w:val="22"/>
                <w:szCs w:val="22"/>
                <w:lang w:val="en-US"/>
              </w:rPr>
              <w:t>Gb</w:t>
            </w:r>
            <w:r w:rsidRPr="00E91F73">
              <w:rPr>
                <w:sz w:val="22"/>
                <w:szCs w:val="22"/>
              </w:rPr>
              <w:t>/500</w:t>
            </w:r>
            <w:r w:rsidRPr="00E91F73">
              <w:rPr>
                <w:sz w:val="22"/>
                <w:szCs w:val="22"/>
                <w:lang w:val="en-US"/>
              </w:rPr>
              <w:t>Gb</w:t>
            </w:r>
            <w:r w:rsidRPr="00E91F73">
              <w:rPr>
                <w:sz w:val="22"/>
                <w:szCs w:val="22"/>
              </w:rPr>
              <w:t xml:space="preserve">/ </w:t>
            </w:r>
            <w:r w:rsidRPr="00E91F73">
              <w:rPr>
                <w:sz w:val="22"/>
                <w:szCs w:val="22"/>
                <w:lang w:val="en-US"/>
              </w:rPr>
              <w:t>Pfilips</w:t>
            </w:r>
            <w:r w:rsidRPr="00E91F73">
              <w:rPr>
                <w:sz w:val="22"/>
                <w:szCs w:val="22"/>
              </w:rPr>
              <w:t xml:space="preserve"> 23" 236</w:t>
            </w:r>
            <w:r w:rsidRPr="00E91F73">
              <w:rPr>
                <w:sz w:val="22"/>
                <w:szCs w:val="22"/>
                <w:lang w:val="en-US"/>
              </w:rPr>
              <w:t>V</w:t>
            </w:r>
            <w:r w:rsidRPr="00E91F73">
              <w:rPr>
                <w:sz w:val="22"/>
                <w:szCs w:val="22"/>
              </w:rPr>
              <w:t xml:space="preserve">3 - 16 шт., Интерактивная доска </w:t>
            </w:r>
            <w:r w:rsidRPr="00E91F73">
              <w:rPr>
                <w:sz w:val="22"/>
                <w:szCs w:val="22"/>
                <w:lang w:val="en-US"/>
              </w:rPr>
              <w:t>Scren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Media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RE</w:t>
            </w:r>
            <w:r w:rsidRPr="00E91F73">
              <w:rPr>
                <w:sz w:val="22"/>
                <w:szCs w:val="22"/>
              </w:rPr>
              <w:t xml:space="preserve"> 100</w:t>
            </w:r>
            <w:r w:rsidRPr="00E91F73">
              <w:rPr>
                <w:sz w:val="22"/>
                <w:szCs w:val="22"/>
                <w:lang w:val="en-US"/>
              </w:rPr>
              <w:t>AW</w:t>
            </w:r>
            <w:r w:rsidRPr="00E91F73">
              <w:rPr>
                <w:sz w:val="22"/>
                <w:szCs w:val="22"/>
              </w:rPr>
              <w:t xml:space="preserve"> </w:t>
            </w:r>
            <w:r w:rsidRPr="00E91F73">
              <w:rPr>
                <w:sz w:val="22"/>
                <w:szCs w:val="22"/>
                <w:lang w:val="en-US"/>
              </w:rPr>
              <w:t>Dual</w:t>
            </w:r>
            <w:r w:rsidRPr="00E91F7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BB8E98" w14:textId="77777777" w:rsidR="002C735C" w:rsidRPr="00E91F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91F7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E91F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4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4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4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4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Отношения в сфере поиска, разведки, добычи, переработки, транспортировки, хранения и реализации нефти и нефтепродуктов как предмет правового регулирования.</w:t>
            </w:r>
          </w:p>
        </w:tc>
      </w:tr>
      <w:tr w:rsidR="009E6058" w14:paraId="13D08C72" w14:textId="77777777" w:rsidTr="00F00293">
        <w:tc>
          <w:tcPr>
            <w:tcW w:w="562" w:type="dxa"/>
          </w:tcPr>
          <w:p w14:paraId="1119F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19B20E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Комплексный характер правового регулирования нефтяной отрасли: сочетание частноправовых и публично-правовых начал.</w:t>
            </w:r>
          </w:p>
        </w:tc>
      </w:tr>
      <w:tr w:rsidR="009E6058" w14:paraId="519B879F" w14:textId="77777777" w:rsidTr="00F00293">
        <w:tc>
          <w:tcPr>
            <w:tcW w:w="562" w:type="dxa"/>
          </w:tcPr>
          <w:p w14:paraId="42A89E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CABC02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Энергетическая стратегия Российской Федерации на период до 2035 г.: стратегические цели развития нефтяного комплекса.</w:t>
            </w:r>
          </w:p>
        </w:tc>
      </w:tr>
      <w:tr w:rsidR="009E6058" w14:paraId="37FEC969" w14:textId="77777777" w:rsidTr="00F00293">
        <w:tc>
          <w:tcPr>
            <w:tcW w:w="562" w:type="dxa"/>
          </w:tcPr>
          <w:p w14:paraId="56AEB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EFC900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Прогноз научно-технологического развития отраслей ТЭК России.</w:t>
            </w:r>
          </w:p>
        </w:tc>
      </w:tr>
      <w:tr w:rsidR="009E6058" w14:paraId="1C32F3D0" w14:textId="77777777" w:rsidTr="00F00293">
        <w:tc>
          <w:tcPr>
            <w:tcW w:w="562" w:type="dxa"/>
          </w:tcPr>
          <w:p w14:paraId="448194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34F1F4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Государственная политика в области недропользования и воспроизводства минерально-сырьевой базы.</w:t>
            </w:r>
          </w:p>
        </w:tc>
      </w:tr>
      <w:tr w:rsidR="009E6058" w14:paraId="5149CF11" w14:textId="77777777" w:rsidTr="00F00293">
        <w:tc>
          <w:tcPr>
            <w:tcW w:w="562" w:type="dxa"/>
          </w:tcPr>
          <w:p w14:paraId="69C02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AD966C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Кодифицированные акты как источники правового регулирования нефтяной отрасли: Гражданский кодекс РФ, Налоговый кодекс РФ (глава 26 «Налог на добычу полезных ископаемых»), Земельный кодекс РФ, Градостроительный кодекс РФ, КоАП РФ, Уголовный кодекс РФ.</w:t>
            </w:r>
          </w:p>
        </w:tc>
      </w:tr>
      <w:tr w:rsidR="009E6058" w14:paraId="5DCF5BB0" w14:textId="77777777" w:rsidTr="00F00293">
        <w:tc>
          <w:tcPr>
            <w:tcW w:w="562" w:type="dxa"/>
          </w:tcPr>
          <w:p w14:paraId="17999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509775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Специальные федеральные законы в сфере нефтяной отрасли: Закон РФ «О недрах», Федеральный закон «О соглашениях о разделе продукции», Федеральный закон «О естественных монополиях», Федеральный закон «О защите конкуренции», Федеральный закон «О промышленной безопасности опасных производственных объектов», Федеральный закон «О безопасности объектов топливно-энергетического комплекса».</w:t>
            </w:r>
          </w:p>
        </w:tc>
      </w:tr>
      <w:tr w:rsidR="009E6058" w14:paraId="7A691096" w14:textId="77777777" w:rsidTr="00F00293">
        <w:tc>
          <w:tcPr>
            <w:tcW w:w="562" w:type="dxa"/>
          </w:tcPr>
          <w:p w14:paraId="76FD5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E334A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Подзаконные нормативные правовые акты в нефтяной отрасли: постановления Правительства РФ (о подключении объектов нефтедобычи, о доступе к услугам по транспортировке, о тарифах), приказы Минэнерго России, приказы Ростехнадзора.</w:t>
            </w:r>
          </w:p>
        </w:tc>
      </w:tr>
      <w:tr w:rsidR="009E6058" w14:paraId="62556E8F" w14:textId="77777777" w:rsidTr="00F00293">
        <w:tc>
          <w:tcPr>
            <w:tcW w:w="562" w:type="dxa"/>
          </w:tcPr>
          <w:p w14:paraId="2BAE43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6BEC4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Локальные акты компаний нефтяной отрасли (положения о закупках, стандарты качества, правила торговой практики).</w:t>
            </w:r>
          </w:p>
        </w:tc>
      </w:tr>
      <w:tr w:rsidR="009E6058" w14:paraId="456E9FC6" w14:textId="77777777" w:rsidTr="00F00293">
        <w:tc>
          <w:tcPr>
            <w:tcW w:w="562" w:type="dxa"/>
          </w:tcPr>
          <w:p w14:paraId="027F5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A6BD2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Международные конвенции в сфере охраны окружающей среды и ответственности за загрязнение нефтью: Международная конвенция по предотвращению загрязнения с судов 1973/1978, Международная конвенция о гражданской ответственности за ущерб от загрязнения нефтью </w:t>
            </w:r>
            <w:r>
              <w:rPr>
                <w:sz w:val="23"/>
                <w:szCs w:val="23"/>
                <w:lang w:val="en-US"/>
              </w:rPr>
              <w:t>1992, Конвенция о предотвращении крупных промышленных аварий 1993.</w:t>
            </w:r>
          </w:p>
        </w:tc>
      </w:tr>
      <w:tr w:rsidR="009E6058" w14:paraId="43AE0253" w14:textId="77777777" w:rsidTr="00F00293">
        <w:tc>
          <w:tcPr>
            <w:tcW w:w="562" w:type="dxa"/>
          </w:tcPr>
          <w:p w14:paraId="3FF43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2E4F89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Двусторонние межправительственные соглашения о сотрудничестве в нефтяной отрасли (с КНР, Венесуэлой, Вьетнамом, Казахстаном и др.).</w:t>
            </w:r>
          </w:p>
        </w:tc>
      </w:tr>
      <w:tr w:rsidR="009E6058" w14:paraId="5085112C" w14:textId="77777777" w:rsidTr="00F00293">
        <w:tc>
          <w:tcPr>
            <w:tcW w:w="562" w:type="dxa"/>
          </w:tcPr>
          <w:p w14:paraId="059C1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00FA09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Договор о Евразийском экономическом союзе: формирование общих рынков нефти и нефтепродуктов.</w:t>
            </w:r>
          </w:p>
        </w:tc>
      </w:tr>
      <w:tr w:rsidR="009E6058" w14:paraId="6DD6A5CA" w14:textId="77777777" w:rsidTr="00F00293">
        <w:tc>
          <w:tcPr>
            <w:tcW w:w="562" w:type="dxa"/>
          </w:tcPr>
          <w:p w14:paraId="1BF0A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37D440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Понятие нефти и нефтепродуктов в нормативных правовых актах (Закон РФ «О недрах», Налоговый кодекс РФ, Технический регламент о требованиях к топливу).</w:t>
            </w:r>
          </w:p>
        </w:tc>
      </w:tr>
      <w:tr w:rsidR="009E6058" w14:paraId="6AD96A9B" w14:textId="77777777" w:rsidTr="00F00293">
        <w:tc>
          <w:tcPr>
            <w:tcW w:w="562" w:type="dxa"/>
          </w:tcPr>
          <w:p w14:paraId="5EA33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9D33C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Нефть как товар: особенности правового режима (ст. 548 ГК РФ).</w:t>
            </w:r>
          </w:p>
        </w:tc>
      </w:tr>
      <w:tr w:rsidR="009E6058" w14:paraId="1F94060A" w14:textId="77777777" w:rsidTr="00F00293">
        <w:tc>
          <w:tcPr>
            <w:tcW w:w="562" w:type="dxa"/>
          </w:tcPr>
          <w:p w14:paraId="31DBB7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184821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Нефть как объект налогообложения (НДПИ, классификация видов нефти, коэффициенты Кд, Кдв).</w:t>
            </w:r>
          </w:p>
        </w:tc>
      </w:tr>
      <w:tr w:rsidR="009E6058" w14:paraId="13BAC004" w14:textId="77777777" w:rsidTr="00F00293">
        <w:tc>
          <w:tcPr>
            <w:tcW w:w="562" w:type="dxa"/>
          </w:tcPr>
          <w:p w14:paraId="0CB85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0505C3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Нефть как объект биржевой торговли: критерии регулярности реализации товара на бирже (Постановление Правительства РФ № 1035).</w:t>
            </w:r>
          </w:p>
        </w:tc>
      </w:tr>
      <w:tr w:rsidR="009E6058" w14:paraId="69387D8E" w14:textId="77777777" w:rsidTr="00F00293">
        <w:tc>
          <w:tcPr>
            <w:tcW w:w="562" w:type="dxa"/>
          </w:tcPr>
          <w:p w14:paraId="7E651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8DE28A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Нефть как объект внешнеэкономических сделок: классификация сырой нефти для целей расчета ставок вывозных таможенных пошлин (Закон РФ «О таможенном тарифе», особые формулы расчёта).</w:t>
            </w:r>
          </w:p>
        </w:tc>
      </w:tr>
      <w:tr w:rsidR="009E6058" w14:paraId="0C2DAAEC" w14:textId="77777777" w:rsidTr="00F00293">
        <w:tc>
          <w:tcPr>
            <w:tcW w:w="562" w:type="dxa"/>
          </w:tcPr>
          <w:p w14:paraId="37359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FA8785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Нефть как опасное вещество (Федеральный закон «О промышленной безопасности опасных производственных объектов»): значение для правового режиму.</w:t>
            </w:r>
          </w:p>
        </w:tc>
      </w:tr>
      <w:tr w:rsidR="009E6058" w14:paraId="5EED5E7F" w14:textId="77777777" w:rsidTr="00F00293">
        <w:tc>
          <w:tcPr>
            <w:tcW w:w="562" w:type="dxa"/>
          </w:tcPr>
          <w:p w14:paraId="4F02DC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19</w:t>
            </w:r>
          </w:p>
        </w:tc>
        <w:tc>
          <w:tcPr>
            <w:tcW w:w="8783" w:type="dxa"/>
          </w:tcPr>
          <w:p w14:paraId="3BD7BFF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Правила учета нефти (Постановление Правительства РФ № 451): порядок учета, определения массы нетто, паспорт качества.</w:t>
            </w:r>
          </w:p>
        </w:tc>
      </w:tr>
      <w:tr w:rsidR="009E6058" w14:paraId="7D1E1434" w14:textId="77777777" w:rsidTr="00F00293">
        <w:tc>
          <w:tcPr>
            <w:tcW w:w="562" w:type="dxa"/>
          </w:tcPr>
          <w:p w14:paraId="534F0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877848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Учет нефти в целях налогообложения.</w:t>
            </w:r>
          </w:p>
        </w:tc>
      </w:tr>
      <w:tr w:rsidR="009E6058" w14:paraId="768923C8" w14:textId="77777777" w:rsidTr="00F00293">
        <w:tc>
          <w:tcPr>
            <w:tcW w:w="562" w:type="dxa"/>
          </w:tcPr>
          <w:p w14:paraId="05FA1B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104738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Инструкция по контролю и обеспечению сохранения качества нефтепродуктов (Приказ Минэнерго России № 231).</w:t>
            </w:r>
          </w:p>
        </w:tc>
      </w:tr>
      <w:tr w:rsidR="009E6058" w14:paraId="0E9A3960" w14:textId="77777777" w:rsidTr="00F00293">
        <w:tc>
          <w:tcPr>
            <w:tcW w:w="562" w:type="dxa"/>
          </w:tcPr>
          <w:p w14:paraId="062E9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EA4D09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Нормы естественной убыли нефти и нефтепродуктов при хранении и перевозке.</w:t>
            </w:r>
          </w:p>
        </w:tc>
      </w:tr>
      <w:tr w:rsidR="009E6058" w14:paraId="047D6C0A" w14:textId="77777777" w:rsidTr="00F00293">
        <w:tc>
          <w:tcPr>
            <w:tcW w:w="562" w:type="dxa"/>
          </w:tcPr>
          <w:p w14:paraId="4D97C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0511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Объекты нефтедобычи: понятие, состав имущественно-технологического комплекса. </w:t>
            </w:r>
            <w:r>
              <w:rPr>
                <w:sz w:val="23"/>
                <w:szCs w:val="23"/>
                <w:lang w:val="en-US"/>
              </w:rPr>
              <w:t>Технические условия подключения к магистральным нефтепроводам (Постановление Правительства РФ № 90).</w:t>
            </w:r>
          </w:p>
        </w:tc>
      </w:tr>
      <w:tr w:rsidR="009E6058" w14:paraId="309CF252" w14:textId="77777777" w:rsidTr="00F00293">
        <w:tc>
          <w:tcPr>
            <w:tcW w:w="562" w:type="dxa"/>
          </w:tcPr>
          <w:p w14:paraId="5AA67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0379D5E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Магистральные нефтепроводы: понятие, проектная и фактическая пропускная способность, порядок определения.</w:t>
            </w:r>
          </w:p>
        </w:tc>
      </w:tr>
      <w:tr w:rsidR="009E6058" w14:paraId="5AC2DE7E" w14:textId="77777777" w:rsidTr="00F00293">
        <w:tc>
          <w:tcPr>
            <w:tcW w:w="562" w:type="dxa"/>
          </w:tcPr>
          <w:p w14:paraId="1008F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2F0440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Нефтеперерабатывающие заводы (НПЗ): понятие, проектная мощность, ведение реестра заводов Минэнерго России.</w:t>
            </w:r>
          </w:p>
        </w:tc>
      </w:tr>
      <w:tr w:rsidR="009E6058" w14:paraId="22AF1B36" w14:textId="77777777" w:rsidTr="00F00293">
        <w:tc>
          <w:tcPr>
            <w:tcW w:w="562" w:type="dxa"/>
          </w:tcPr>
          <w:p w14:paraId="00DE8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F1008D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Отнесение объектов нефтяной отрасли к опасным производственным объектам: классы опасности.</w:t>
            </w:r>
          </w:p>
        </w:tc>
      </w:tr>
      <w:tr w:rsidR="009E6058" w14:paraId="432ABD10" w14:textId="77777777" w:rsidTr="00F00293">
        <w:tc>
          <w:tcPr>
            <w:tcW w:w="562" w:type="dxa"/>
          </w:tcPr>
          <w:p w14:paraId="32B39A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F3C9B9E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Правовой режим объектов топливно-энергетического комплекса: требования антитеррористической защищенности.</w:t>
            </w:r>
          </w:p>
        </w:tc>
      </w:tr>
      <w:tr w:rsidR="009E6058" w14:paraId="3980CEAA" w14:textId="77777777" w:rsidTr="00F00293">
        <w:tc>
          <w:tcPr>
            <w:tcW w:w="562" w:type="dxa"/>
          </w:tcPr>
          <w:p w14:paraId="59A3DF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B9D081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Требования к качеству и учету нефти при транспортировке по магистральным нефтепроводам.</w:t>
            </w:r>
          </w:p>
        </w:tc>
      </w:tr>
      <w:tr w:rsidR="009E6058" w14:paraId="6788504E" w14:textId="77777777" w:rsidTr="00F00293">
        <w:tc>
          <w:tcPr>
            <w:tcW w:w="562" w:type="dxa"/>
          </w:tcPr>
          <w:p w14:paraId="1D851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59746EB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Тарифы на услуги субъектов естественных монополий по транспортировке нефти и нефтепродуктов (Постановление Правительства РФ № 980).</w:t>
            </w:r>
          </w:p>
        </w:tc>
      </w:tr>
      <w:tr w:rsidR="009E6058" w14:paraId="501FC8CC" w14:textId="77777777" w:rsidTr="00F00293">
        <w:tc>
          <w:tcPr>
            <w:tcW w:w="562" w:type="dxa"/>
          </w:tcPr>
          <w:p w14:paraId="737D9D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5065CB8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Нормы естественной убыли нефти при перевозке различными видами транспорта (Приказ Минэнерго России № 527/236).</w:t>
            </w:r>
          </w:p>
        </w:tc>
      </w:tr>
      <w:tr w:rsidR="009E6058" w14:paraId="591FC41B" w14:textId="77777777" w:rsidTr="00F00293">
        <w:tc>
          <w:tcPr>
            <w:tcW w:w="562" w:type="dxa"/>
          </w:tcPr>
          <w:p w14:paraId="6E671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1030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Пользователи недр: требования к субъектам, основания возникновения права пользования участками недр (лицензирование, аукционы). </w:t>
            </w:r>
            <w:r>
              <w:rPr>
                <w:sz w:val="23"/>
                <w:szCs w:val="23"/>
                <w:lang w:val="en-US"/>
              </w:rPr>
              <w:t>Особенности для участков недр федерального значения, континентального шельфа.</w:t>
            </w:r>
          </w:p>
        </w:tc>
      </w:tr>
      <w:tr w:rsidR="009E6058" w14:paraId="7C0590CA" w14:textId="77777777" w:rsidTr="00F00293">
        <w:tc>
          <w:tcPr>
            <w:tcW w:w="562" w:type="dxa"/>
          </w:tcPr>
          <w:p w14:paraId="32B32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8114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Субъекты естественных монополий: транспортировка нефти и нефтепродуктов по магистральным трубопроводам. </w:t>
            </w:r>
            <w:r>
              <w:rPr>
                <w:sz w:val="23"/>
                <w:szCs w:val="23"/>
                <w:lang w:val="en-US"/>
              </w:rPr>
              <w:t>Стандарты раскрытия информации.</w:t>
            </w:r>
          </w:p>
        </w:tc>
      </w:tr>
      <w:tr w:rsidR="009E6058" w14:paraId="492A5570" w14:textId="77777777" w:rsidTr="00F00293">
        <w:tc>
          <w:tcPr>
            <w:tcW w:w="562" w:type="dxa"/>
          </w:tcPr>
          <w:p w14:paraId="7C9098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234A8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Стратегические общества в нефтяной отрасли: ОАО «АК «Транснефть», ОАО «НК «Роснефть», ОАО «Зарубежнефть», ОАО «Роснефтегаз». </w:t>
            </w:r>
            <w:r>
              <w:rPr>
                <w:sz w:val="23"/>
                <w:szCs w:val="23"/>
                <w:lang w:val="en-US"/>
              </w:rPr>
              <w:t>Особенности правового положения, участие государства в уставном капитале.</w:t>
            </w:r>
          </w:p>
        </w:tc>
      </w:tr>
      <w:tr w:rsidR="009E6058" w14:paraId="681FAEF6" w14:textId="77777777" w:rsidTr="00F00293">
        <w:tc>
          <w:tcPr>
            <w:tcW w:w="562" w:type="dxa"/>
          </w:tcPr>
          <w:p w14:paraId="781C8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C07A45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Права и обязанности оператора и потребителя услуг по транспортировке нефти.</w:t>
            </w:r>
          </w:p>
        </w:tc>
      </w:tr>
      <w:tr w:rsidR="009E6058" w14:paraId="43D6AB40" w14:textId="77777777" w:rsidTr="00F00293">
        <w:tc>
          <w:tcPr>
            <w:tcW w:w="562" w:type="dxa"/>
          </w:tcPr>
          <w:p w14:paraId="22880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70DB4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Порядок выдачи, оформления и регистрации лицензий на пользование недрами. </w:t>
            </w:r>
            <w:r>
              <w:rPr>
                <w:sz w:val="23"/>
                <w:szCs w:val="23"/>
                <w:lang w:val="en-US"/>
              </w:rPr>
              <w:t>Переоформление и прекращение лицензий.</w:t>
            </w:r>
          </w:p>
        </w:tc>
      </w:tr>
      <w:tr w:rsidR="009E6058" w14:paraId="4FDAEEA1" w14:textId="77777777" w:rsidTr="00F00293">
        <w:tc>
          <w:tcPr>
            <w:tcW w:w="562" w:type="dxa"/>
          </w:tcPr>
          <w:p w14:paraId="1D7483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DD0A25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Участки недр федерального значения: критерии отнесения, порядок предоставления без проведения аукционов (Распоряжение Правительства РФ № 787-р).</w:t>
            </w:r>
          </w:p>
        </w:tc>
      </w:tr>
      <w:tr w:rsidR="009E6058" w14:paraId="26698D4C" w14:textId="77777777" w:rsidTr="00F00293">
        <w:tc>
          <w:tcPr>
            <w:tcW w:w="562" w:type="dxa"/>
          </w:tcPr>
          <w:p w14:paraId="1D0171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B675660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Лицензионные риски и ответственность за нарушение условий пользования недрами.</w:t>
            </w:r>
          </w:p>
        </w:tc>
      </w:tr>
      <w:tr w:rsidR="009E6058" w14:paraId="68DE4B75" w14:textId="77777777" w:rsidTr="00F00293">
        <w:tc>
          <w:tcPr>
            <w:tcW w:w="562" w:type="dxa"/>
          </w:tcPr>
          <w:p w14:paraId="3A5E7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3FE9671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Договоры поставки нефти и нефтепродуктов: особенности заключения (рамочные договоры, условия Инкотермс). Биржевая торговля нефтепродуктами (правила организованных торгов, Общие условия поставки). Судебная практика по спорам о поставке.</w:t>
            </w:r>
          </w:p>
        </w:tc>
      </w:tr>
      <w:tr w:rsidR="009E6058" w14:paraId="7101DA6B" w14:textId="77777777" w:rsidTr="00F00293">
        <w:tc>
          <w:tcPr>
            <w:tcW w:w="562" w:type="dxa"/>
          </w:tcPr>
          <w:p w14:paraId="3301C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593C538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Договоры об оказании услуг по транспортировке нефти (нефтепродуктов) по магистральным трубопроводам: порядок заключения (заявка, сроки), существенные условия договора, срок действия (1 год), права и обязанности сторон (Постановление Правительства РФ № 218).</w:t>
            </w:r>
          </w:p>
        </w:tc>
      </w:tr>
      <w:tr w:rsidR="009E6058" w14:paraId="5B86FE02" w14:textId="77777777" w:rsidTr="00F00293">
        <w:tc>
          <w:tcPr>
            <w:tcW w:w="562" w:type="dxa"/>
          </w:tcPr>
          <w:p w14:paraId="6F253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288F761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Договоры на подключение объектов нефтедобычи к магистральному нефтепроводу: понятие, стороны, существенные условия, срок действия (не более 3 лет), размер платы.</w:t>
            </w:r>
          </w:p>
        </w:tc>
      </w:tr>
      <w:tr w:rsidR="009E6058" w14:paraId="69A8D380" w14:textId="77777777" w:rsidTr="00F00293">
        <w:tc>
          <w:tcPr>
            <w:tcW w:w="562" w:type="dxa"/>
          </w:tcPr>
          <w:p w14:paraId="64CB6E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B52FC60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Договоры на подключение нефтеперерабатывающих заводов к магистральным нефтепроводам и нефтепродуктопроводам: порядок заключения, срок действия (не более 5 лет), технические условия (Постановление Правительства РФ № 1039).</w:t>
            </w:r>
          </w:p>
        </w:tc>
      </w:tr>
      <w:tr w:rsidR="009E6058" w14:paraId="0F50A644" w14:textId="77777777" w:rsidTr="00F00293">
        <w:tc>
          <w:tcPr>
            <w:tcW w:w="562" w:type="dxa"/>
          </w:tcPr>
          <w:p w14:paraId="0CC6D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B0AF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Соглашения о разделе продукции (СРП): понятие, правовая природа, действующие СРП (Харьягинское, «Сахалин-1», «Сахалин-2»). </w:t>
            </w:r>
            <w:r>
              <w:rPr>
                <w:sz w:val="23"/>
                <w:szCs w:val="23"/>
                <w:lang w:val="en-US"/>
              </w:rPr>
              <w:t>Особенности правового регулирования.</w:t>
            </w:r>
          </w:p>
        </w:tc>
      </w:tr>
      <w:tr w:rsidR="009E6058" w14:paraId="3F88AB44" w14:textId="77777777" w:rsidTr="00F00293">
        <w:tc>
          <w:tcPr>
            <w:tcW w:w="562" w:type="dxa"/>
          </w:tcPr>
          <w:p w14:paraId="24074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43</w:t>
            </w:r>
          </w:p>
        </w:tc>
        <w:tc>
          <w:tcPr>
            <w:tcW w:w="8783" w:type="dxa"/>
          </w:tcPr>
          <w:p w14:paraId="458CA452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Особые экономические меры в связи с установлением предельной цены на российские нефть и нефтепродукты (Указ Президента РФ № 961).</w:t>
            </w:r>
          </w:p>
        </w:tc>
      </w:tr>
      <w:tr w:rsidR="009E6058" w14:paraId="28D1E84A" w14:textId="77777777" w:rsidTr="00F00293">
        <w:tc>
          <w:tcPr>
            <w:tcW w:w="562" w:type="dxa"/>
          </w:tcPr>
          <w:p w14:paraId="791F22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A7B5753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Таможенное регулирование: ставки вывозных таможенных пошлин, методика расчёта, правила мониторинга цен.</w:t>
            </w:r>
          </w:p>
        </w:tc>
      </w:tr>
      <w:tr w:rsidR="009E6058" w14:paraId="53A4ED7B" w14:textId="77777777" w:rsidTr="00F00293">
        <w:tc>
          <w:tcPr>
            <w:tcW w:w="562" w:type="dxa"/>
          </w:tcPr>
          <w:p w14:paraId="17C93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C4D117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Порядок подтверждения факта добычи нефти для применения особых формул расчета ставок вывозных пошлин (Постановление Правительства РФ № 277).</w:t>
            </w:r>
          </w:p>
        </w:tc>
      </w:tr>
      <w:tr w:rsidR="009E6058" w14:paraId="39E7CBFF" w14:textId="77777777" w:rsidTr="00F00293">
        <w:tc>
          <w:tcPr>
            <w:tcW w:w="562" w:type="dxa"/>
          </w:tcPr>
          <w:p w14:paraId="79377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00EFC09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Обеспечение недискриминационного доступа к услугам субъектов естественных монополий по транспортировке нефти (Постановление Правительства РФ № 218). Порядок формирования и утверждения графика транспортировки нефти за пределы РФ.</w:t>
            </w:r>
          </w:p>
        </w:tc>
      </w:tr>
      <w:tr w:rsidR="009E6058" w14:paraId="105BBA07" w14:textId="77777777" w:rsidTr="00F00293">
        <w:tc>
          <w:tcPr>
            <w:tcW w:w="562" w:type="dxa"/>
          </w:tcPr>
          <w:p w14:paraId="0C89D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E146B0E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Стандарты раскрытия информации субъектами естественных монополий (Постановление Правительства РФ № 844).</w:t>
            </w:r>
          </w:p>
        </w:tc>
      </w:tr>
      <w:tr w:rsidR="009E6058" w14:paraId="6A388C8B" w14:textId="77777777" w:rsidTr="00F00293">
        <w:tc>
          <w:tcPr>
            <w:tcW w:w="562" w:type="dxa"/>
          </w:tcPr>
          <w:p w14:paraId="29FC4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EFD65D5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Контроль за экономической концентрацией на рынках нефти и нефтепродуктов.</w:t>
            </w:r>
          </w:p>
        </w:tc>
      </w:tr>
      <w:tr w:rsidR="009E6058" w14:paraId="6CA0A71E" w14:textId="77777777" w:rsidTr="00F00293">
        <w:tc>
          <w:tcPr>
            <w:tcW w:w="562" w:type="dxa"/>
          </w:tcPr>
          <w:p w14:paraId="1674A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52FFA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Недопущение злоупотребления доминирующим положением.</w:t>
            </w:r>
          </w:p>
        </w:tc>
      </w:tr>
      <w:tr w:rsidR="009E6058" w14:paraId="3CA6A19D" w14:textId="77777777" w:rsidTr="00F00293">
        <w:tc>
          <w:tcPr>
            <w:tcW w:w="562" w:type="dxa"/>
          </w:tcPr>
          <w:p w14:paraId="6A380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38C690C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Принципы и методы регулирования тарифов на услуги по транспортировке нефти (метод экономически обоснованных расходов, метод доходности инвестированного капитала, метод индексации).</w:t>
            </w:r>
          </w:p>
        </w:tc>
      </w:tr>
      <w:tr w:rsidR="009E6058" w14:paraId="0CC62B10" w14:textId="77777777" w:rsidTr="00F00293">
        <w:tc>
          <w:tcPr>
            <w:tcW w:w="562" w:type="dxa"/>
          </w:tcPr>
          <w:p w14:paraId="5F92DC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0342D9A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Перечень услуг субъектов естественных монополий, тарифы на которые регулируются государством (перекачка, перевалка, приём, слив, налив).</w:t>
            </w:r>
          </w:p>
        </w:tc>
      </w:tr>
      <w:tr w:rsidR="009E6058" w14:paraId="7CB8BA80" w14:textId="77777777" w:rsidTr="00F00293">
        <w:tc>
          <w:tcPr>
            <w:tcW w:w="562" w:type="dxa"/>
          </w:tcPr>
          <w:p w14:paraId="296EC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AF67A26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Порядок дифференциации тарифов в зависимости от объемов и характеристик транспортируемой нефти.</w:t>
            </w:r>
          </w:p>
        </w:tc>
      </w:tr>
      <w:tr w:rsidR="009E6058" w14:paraId="13256899" w14:textId="77777777" w:rsidTr="00F00293">
        <w:tc>
          <w:tcPr>
            <w:tcW w:w="562" w:type="dxa"/>
          </w:tcPr>
          <w:p w14:paraId="55D7B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EB865C7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Особенности ценообразования на услуги по комплексной транспортировке нефти.</w:t>
            </w:r>
          </w:p>
        </w:tc>
      </w:tr>
      <w:tr w:rsidR="009E6058" w14:paraId="3A4C8C4A" w14:textId="77777777" w:rsidTr="00F00293">
        <w:tc>
          <w:tcPr>
            <w:tcW w:w="562" w:type="dxa"/>
          </w:tcPr>
          <w:p w14:paraId="1D2A7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2600FD8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Налог на добычу полезных ископаемых (НДПИ) при добыче нефти: порядок определения количества добытой нефти, коэффициенты Кд и Кдв.</w:t>
            </w:r>
          </w:p>
        </w:tc>
      </w:tr>
      <w:tr w:rsidR="009E6058" w14:paraId="73A8107E" w14:textId="77777777" w:rsidTr="00F00293">
        <w:tc>
          <w:tcPr>
            <w:tcW w:w="562" w:type="dxa"/>
          </w:tcPr>
          <w:p w14:paraId="25AEB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B92392C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Особенности налогообложения для месторождений с высокой степенью выработанности, новых месторождений.</w:t>
            </w:r>
          </w:p>
        </w:tc>
      </w:tr>
      <w:tr w:rsidR="009E6058" w14:paraId="03DE794D" w14:textId="77777777" w:rsidTr="00F00293">
        <w:tc>
          <w:tcPr>
            <w:tcW w:w="562" w:type="dxa"/>
          </w:tcPr>
          <w:p w14:paraId="118DA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1FA8C21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Вывозные таможенные пошлины на нефть и нефтепродукты: порядок установления, формулы расчёта, мониторинг цен.</w:t>
            </w:r>
          </w:p>
        </w:tc>
      </w:tr>
      <w:tr w:rsidR="009E6058" w14:paraId="23B3B123" w14:textId="77777777" w:rsidTr="00F00293">
        <w:tc>
          <w:tcPr>
            <w:tcW w:w="562" w:type="dxa"/>
          </w:tcPr>
          <w:p w14:paraId="08E032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BEB0F39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Экспортный контроль в отношении нефти и нефтепродуктов.</w:t>
            </w:r>
          </w:p>
        </w:tc>
      </w:tr>
      <w:tr w:rsidR="009E6058" w14:paraId="249284A1" w14:textId="77777777" w:rsidTr="00F00293">
        <w:tc>
          <w:tcPr>
            <w:tcW w:w="562" w:type="dxa"/>
          </w:tcPr>
          <w:p w14:paraId="3F9F5D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FDFB794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Федеральные нормы и правила в области промышленной безопасности в нефтяной и газовой промышленности (Приказ Ростехнадзора № 101): требования к конструкциям скважин, к эксплуатации объектов сбора, подготовки, хранения и транспорта нефти.</w:t>
            </w:r>
          </w:p>
        </w:tc>
      </w:tr>
      <w:tr w:rsidR="009E6058" w14:paraId="45E0561A" w14:textId="77777777" w:rsidTr="00F00293">
        <w:tc>
          <w:tcPr>
            <w:tcW w:w="562" w:type="dxa"/>
          </w:tcPr>
          <w:p w14:paraId="23F6E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15BB29F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Планы предупреждения и ликвидации разливов нефти и нефтепродуктов: требования к содержанию, согласование (постановление Правительства РФ № 2451, разъяснения Росприроднадзора, Минэнерго).</w:t>
            </w:r>
          </w:p>
        </w:tc>
      </w:tr>
      <w:tr w:rsidR="009E6058" w14:paraId="21F6FD8E" w14:textId="77777777" w:rsidTr="00F00293">
        <w:tc>
          <w:tcPr>
            <w:tcW w:w="562" w:type="dxa"/>
          </w:tcPr>
          <w:p w14:paraId="4A540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40BC0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Регистрация опасных производственных объектов в государственном реестре. </w:t>
            </w:r>
            <w:r>
              <w:rPr>
                <w:sz w:val="23"/>
                <w:szCs w:val="23"/>
                <w:lang w:val="en-US"/>
              </w:rPr>
              <w:t>Классы опасности.</w:t>
            </w:r>
          </w:p>
        </w:tc>
      </w:tr>
      <w:tr w:rsidR="009E6058" w14:paraId="634BB332" w14:textId="77777777" w:rsidTr="00F00293">
        <w:tc>
          <w:tcPr>
            <w:tcW w:w="562" w:type="dxa"/>
          </w:tcPr>
          <w:p w14:paraId="1B69F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B10E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91F73">
              <w:rPr>
                <w:sz w:val="23"/>
                <w:szCs w:val="23"/>
              </w:rPr>
              <w:t xml:space="preserve">Саморегулируемые организации, основанные на членстве лиц, осуществляющих работы по инженерным изысканиям, проектированию, строительству энергетических объектов (СРО «Нефтегазстрой», СРО «Энергострой»). </w:t>
            </w:r>
            <w:r>
              <w:rPr>
                <w:sz w:val="23"/>
                <w:szCs w:val="23"/>
                <w:lang w:val="en-US"/>
              </w:rPr>
              <w:t>Требования к выдаче свидетельств о допуске к работам.</w:t>
            </w:r>
          </w:p>
        </w:tc>
      </w:tr>
      <w:tr w:rsidR="009E6058" w14:paraId="749E915C" w14:textId="77777777" w:rsidTr="00F00293">
        <w:tc>
          <w:tcPr>
            <w:tcW w:w="562" w:type="dxa"/>
          </w:tcPr>
          <w:p w14:paraId="6A2660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D53D851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Саморегулируемые организации в области энергетического обследования, члены которых проводят энергетические обследования организаций нефтяной отрасли.</w:t>
            </w:r>
          </w:p>
        </w:tc>
      </w:tr>
      <w:tr w:rsidR="009E6058" w14:paraId="14BB01D7" w14:textId="77777777" w:rsidTr="00F00293">
        <w:tc>
          <w:tcPr>
            <w:tcW w:w="562" w:type="dxa"/>
          </w:tcPr>
          <w:p w14:paraId="023B7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DB2F057" w14:textId="77777777" w:rsidR="009E6058" w:rsidRPr="00E91F7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Акты саморегулируемых организаций как источник энергетического права.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4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1F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1F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4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91F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1F73" w14:paraId="5A1C9382" w14:textId="77777777" w:rsidTr="00801458">
        <w:tc>
          <w:tcPr>
            <w:tcW w:w="2336" w:type="dxa"/>
          </w:tcPr>
          <w:p w14:paraId="4C518DAB" w14:textId="77777777" w:rsidR="005D65A5" w:rsidRPr="00E91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F73">
              <w:rPr>
                <w:rFonts w:ascii="Times New Roman" w:hAnsi="Times New Roman" w:cs="Times New Roman"/>
                <w:b/>
              </w:rPr>
              <w:lastRenderedPageBreak/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1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F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1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F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1F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F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1F73" w14:paraId="07658034" w14:textId="77777777" w:rsidTr="00801458">
        <w:tc>
          <w:tcPr>
            <w:tcW w:w="2336" w:type="dxa"/>
          </w:tcPr>
          <w:p w14:paraId="1553D698" w14:textId="78F29BFB" w:rsidR="005D65A5" w:rsidRPr="00E91F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91F73" w14:paraId="175388E4" w14:textId="77777777" w:rsidTr="00801458">
        <w:tc>
          <w:tcPr>
            <w:tcW w:w="2336" w:type="dxa"/>
          </w:tcPr>
          <w:p w14:paraId="6542637A" w14:textId="77777777" w:rsidR="005D65A5" w:rsidRPr="00E91F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EF3F60" w14:textId="77777777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5F099B" w14:textId="77777777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00874F" w14:textId="77777777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91F73" w14:paraId="35A3A8E6" w14:textId="77777777" w:rsidTr="00801458">
        <w:tc>
          <w:tcPr>
            <w:tcW w:w="2336" w:type="dxa"/>
          </w:tcPr>
          <w:p w14:paraId="7AB7463A" w14:textId="77777777" w:rsidR="005D65A5" w:rsidRPr="00E91F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0E1023" w14:textId="77777777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8DEC4E" w14:textId="77777777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AF1ACC" w14:textId="77777777" w:rsidR="005D65A5" w:rsidRPr="00E91F73" w:rsidRDefault="007478E0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91F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91F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4243"/>
      <w:r w:rsidRPr="00E91F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52CA5B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1F73" w14:paraId="1CCE8D59" w14:textId="77777777" w:rsidTr="00E91F73">
        <w:tc>
          <w:tcPr>
            <w:tcW w:w="562" w:type="dxa"/>
          </w:tcPr>
          <w:p w14:paraId="536506D3" w14:textId="77777777" w:rsidR="00E91F73" w:rsidRDefault="00E91F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C39F99" w14:textId="77777777" w:rsidR="00E91F73" w:rsidRDefault="00E91F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DE26E9" w14:textId="77777777" w:rsidR="00E91F73" w:rsidRPr="00E91F73" w:rsidRDefault="00E91F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91F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4244"/>
      <w:r w:rsidRPr="00E91F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91F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E91F73" w14:paraId="0267C479" w14:textId="77777777" w:rsidTr="00801458">
        <w:tc>
          <w:tcPr>
            <w:tcW w:w="2500" w:type="pct"/>
          </w:tcPr>
          <w:p w14:paraId="37F699C9" w14:textId="77777777" w:rsidR="00B8237E" w:rsidRPr="00E91F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F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1F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F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1F73" w14:paraId="3F240151" w14:textId="77777777" w:rsidTr="00801458">
        <w:tc>
          <w:tcPr>
            <w:tcW w:w="2500" w:type="pct"/>
          </w:tcPr>
          <w:p w14:paraId="61E91592" w14:textId="61A0874C" w:rsidR="00B8237E" w:rsidRPr="00E91F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91F73" w:rsidRDefault="005C548A" w:rsidP="00801458">
            <w:pPr>
              <w:rPr>
                <w:rFonts w:ascii="Times New Roman" w:hAnsi="Times New Roman" w:cs="Times New Roman"/>
              </w:rPr>
            </w:pPr>
            <w:r w:rsidRPr="00E91F7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91F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91F7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4245"/>
      <w:r w:rsidRPr="00E91F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91F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91F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91F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91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91F7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E91F7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F7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E91F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E91F7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1F7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</w:t>
      </w:r>
      <w:r w:rsidRPr="00142518">
        <w:rPr>
          <w:rFonts w:ascii="Times New Roman" w:hAnsi="Times New Roman"/>
          <w:sz w:val="28"/>
          <w:szCs w:val="28"/>
        </w:rPr>
        <w:t xml:space="preserve">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472C9" w14:textId="77777777" w:rsidR="00C052EE" w:rsidRDefault="00C052EE" w:rsidP="00315CA6">
      <w:pPr>
        <w:spacing w:after="0" w:line="240" w:lineRule="auto"/>
      </w:pPr>
      <w:r>
        <w:separator/>
      </w:r>
    </w:p>
  </w:endnote>
  <w:endnote w:type="continuationSeparator" w:id="0">
    <w:p w14:paraId="7B1AC1CC" w14:textId="77777777" w:rsidR="00C052EE" w:rsidRDefault="00C052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D46D0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F73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C83C4" w14:textId="77777777" w:rsidR="00C052EE" w:rsidRDefault="00C052EE" w:rsidP="00315CA6">
      <w:pPr>
        <w:spacing w:after="0" w:line="240" w:lineRule="auto"/>
      </w:pPr>
      <w:r>
        <w:separator/>
      </w:r>
    </w:p>
  </w:footnote>
  <w:footnote w:type="continuationSeparator" w:id="0">
    <w:p w14:paraId="2F6E63FA" w14:textId="77777777" w:rsidR="00C052EE" w:rsidRDefault="00C052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2E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F7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ok.ru/books/95721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9F5AD8-2CAA-4717-9124-388AA88C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20</Pages>
  <Words>5611</Words>
  <Characters>31983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